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1.pdf" ContentType="application/pdf"/>
  <Override PartName="/word/media/rId88.png" ContentType="image/png"/>
  <Override PartName="/word/media/rId82.png" ContentType="image/png"/>
  <Override PartName="/word/media/rId76.png" ContentType="image/png"/>
  <Override PartName="/word/media/rId79.pdf" ContentType="application/pdf"/>
  <Override PartName="/word/media/rId91.png" ContentType="image/png"/>
  <Override PartName="/word/media/rId85.png" ContentType="image/png"/>
  <Override PartName="/word/media/rId70.png" ContentType="image/png"/>
  <Override PartName="/word/media/rId73.png" ContentType="image/png"/>
  <Override PartName="/word/media/rId67.pdf" ContentType="application/pdf"/>
  <Override PartName="/word/media/rId64.pdf" ContentType="application/pdf"/>
  <Override PartName="/word/media/rId94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 Tyler, J Matthew Mahoney, Mark P Keller, Candice N. Baker,</w:t>
      </w:r>
      <w:r>
        <w:t xml:space="preserve"> </w:t>
      </w:r>
      <w:r>
        <w:t xml:space="preserve">Margaret Gaca, Anuj Srivastava, Isabela Gerdes Gyuricza, Madeleine</w:t>
      </w:r>
      <w:r>
        <w:t xml:space="preserve"> </w:t>
      </w:r>
      <w:r>
        <w:t xml:space="preserve">Braun, Nadia A Rosenthal, Alan D Attie, Gary A Churchill and Gregory W</w:t>
      </w:r>
      <w:r>
        <w:t xml:space="preserve"> </w:t>
      </w:r>
      <w:r>
        <w:t xml:space="preserve">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Gene expression is an important mediator of genetic effects on</w:t>
      </w:r>
      <w:r>
        <w:t xml:space="preserve"> </w:t>
      </w:r>
      <w:r>
        <w:t xml:space="preserve">phenotype. Although many genes are subject to simple, local regulation,</w:t>
      </w:r>
      <w:r>
        <w:t xml:space="preserve"> </w:t>
      </w:r>
      <w:r>
        <w:t xml:space="preserve">recent evidence suggests that complex distal regulation may be more</w:t>
      </w:r>
      <w:r>
        <w:t xml:space="preserve"> </w:t>
      </w:r>
      <w:r>
        <w:t xml:space="preserve">important in mediating trait variability. To investigate this</w:t>
      </w:r>
      <w:r>
        <w:t xml:space="preserve"> </w:t>
      </w:r>
      <w:r>
        <w:t xml:space="preserve">possibility, we combined two large, data sets modeling diet-induced</w:t>
      </w:r>
      <w:r>
        <w:t xml:space="preserve"> </w:t>
      </w:r>
      <w:r>
        <w:t xml:space="preserve">obesity and metabolic disease in genetically diverse mice. Using a novel</w:t>
      </w:r>
      <w:r>
        <w:t xml:space="preserve"> </w:t>
      </w:r>
      <w:r>
        <w:t xml:space="preserve">high-dimensional mediation analysis, we identified a heritable composite</w:t>
      </w:r>
      <w:r>
        <w:t xml:space="preserve"> </w:t>
      </w:r>
      <w:r>
        <w:t xml:space="preserve">transcript that explained 30% of the variation across all metabolic</w:t>
      </w:r>
      <w:r>
        <w:t xml:space="preserve"> </w:t>
      </w:r>
      <w:r>
        <w:t xml:space="preserve">traits. The composite transcript was interpretable in terms of enriched</w:t>
      </w:r>
      <w:r>
        <w:t xml:space="preserve"> </w:t>
      </w:r>
      <w:r>
        <w:t xml:space="preserve">biological processes and predicted obesity status in an independent</w:t>
      </w:r>
      <w:r>
        <w:t xml:space="preserve"> </w:t>
      </w:r>
      <w:r>
        <w:t xml:space="preserve">mouse cohort as well as in human cohorts with measured gene expression.</w:t>
      </w:r>
      <w:r>
        <w:t xml:space="preserve"> </w:t>
      </w:r>
      <w:r>
        <w:t xml:space="preserve">Transcripts contributing most strongly to this composite mediator tended</w:t>
      </w:r>
      <w:r>
        <w:t xml:space="preserve"> </w:t>
      </w:r>
      <w:r>
        <w:t xml:space="preserve">to have complex, distal regulation distributed throughout the genome.</w:t>
      </w:r>
      <w:r>
        <w:t xml:space="preserve"> </w:t>
      </w:r>
      <w:r>
        <w:t xml:space="preserve">These 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</w:t>
      </w:r>
      <w:r>
        <w:t xml:space="preserve"> </w:t>
      </w:r>
      <w:r>
        <w:t xml:space="preserve">on this idea to identify genes associated with multiple 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many variants</w:t>
      </w:r>
      <w:r>
        <w:t xml:space="preserve"> </w:t>
      </w:r>
      <w:r>
        <w:t xml:space="preserve">throughout the genome through their cumulative effects on a broader</w:t>
      </w:r>
      <w:r>
        <w:t xml:space="preserve"> </w:t>
      </w:r>
      <w:r>
        <w:t xml:space="preserve">regulatory network. In other words, the heritable component of the</w:t>
      </w:r>
      <w:r>
        <w:t xml:space="preserve"> </w:t>
      </w:r>
      <w:r>
        <w:t xml:space="preserve">transcriptome is an emergent state arising from the myriad molecular</w:t>
      </w:r>
      <w:r>
        <w:t xml:space="preserve"> </w:t>
      </w:r>
      <w:r>
        <w:t xml:space="preserve">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21,22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23,24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25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26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25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27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25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haplotyped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500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 and glucose and plasma lipids, with transcriptome-wide gene</w:t>
      </w:r>
      <w:r>
        <w:t xml:space="preserve"> </w:t>
      </w:r>
      <w:r>
        <w:t xml:space="preserve">expression in four tissues related to metabolic disease: adipose tissue,</w:t>
      </w:r>
      <w:r>
        <w:t xml:space="preserve"> </w:t>
      </w:r>
      <w:r>
        <w:t xml:space="preserve">pancreatic islets, liver, and skeletal muscle. We measured similar</w:t>
      </w:r>
      <w:r>
        <w:t xml:space="preserve"> </w:t>
      </w:r>
      <w:r>
        <w:t xml:space="preserve">metabolic traits in the CC-RIX and gene expression from three of the</w:t>
      </w:r>
      <w:r>
        <w:t xml:space="preserve"> </w:t>
      </w:r>
      <w:r>
        <w:t xml:space="preserve">four 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the DO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(Males: 18.5 -</w:t>
      </w:r>
      <w:r>
        <w:t xml:space="preserve"> </w:t>
      </w:r>
      <w:r>
        <w:t xml:space="preserve">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</w:t>
      </w:r>
      <w:r>
        <w:t xml:space="preserve"> </w:t>
      </w:r>
      <w:r>
        <w:t xml:space="preserve">blood glucose (FBG) also varied 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 animals had FBG levels</w:t>
      </w:r>
      <w:r>
        <w:t xml:space="preserve"> </w:t>
      </w:r>
      <w:r>
        <w:t xml:space="preserve">that would indicate pre-diabetes (19 animals, 3.8%), or diabetes (7</w:t>
      </w:r>
      <w:r>
        <w:t xml:space="preserve"> </w:t>
      </w:r>
      <w:r>
        <w:t xml:space="preserve">animals, 1.4%) according to previously developed cutoffs (pre-diabetes:</w:t>
      </w:r>
      <w:r>
        <w:t xml:space="preserve"> </w:t>
      </w:r>
      <w:r>
        <w:t xml:space="preserve">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28</w:t>
      </w:r>
      <w:r>
        <w:t xml:space="preserve">. Males had higher FBG than females on 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 suggesting either</w:t>
      </w:r>
      <w:r>
        <w:t xml:space="preserve"> </w:t>
      </w:r>
      <w:r>
        <w:t xml:space="preserve">that males were more susceptible to metabolic disease on the high-fat</w:t>
      </w:r>
      <w:r>
        <w:t xml:space="preserve"> </w:t>
      </w:r>
      <w:r>
        <w:t xml:space="preserve">diet, or that males and females may require different thresholds for</w:t>
      </w:r>
      <w:r>
        <w:t xml:space="preserve"> </w:t>
      </w:r>
      <w:r>
        <w:t xml:space="preserve">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 indicating</w:t>
      </w:r>
      <w:r>
        <w:t xml:space="preserve"> </w:t>
      </w:r>
      <w:r>
        <w:t xml:space="preserve">complex relationships among the measured traits. This low level of</w:t>
      </w:r>
      <w:r>
        <w:t xml:space="preserve"> </w:t>
      </w:r>
      <w:r>
        <w:t xml:space="preserve">redundancy suggests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assayed adipose, islet, liver, and skeletal muscle</w:t>
      </w:r>
      <w:r>
        <w:t xml:space="preserve"> </w:t>
      </w:r>
      <w:r>
        <w:t xml:space="preserve">gene expression in the DO cohort. We performed eQTL analysis using</w:t>
      </w:r>
      <w:r>
        <w:t xml:space="preserve"> </w:t>
      </w:r>
      <w:r>
        <w:t xml:space="preserve">R/qtl2</w:t>
      </w:r>
      <w:r>
        <w:rPr>
          <w:vertAlign w:val="superscript"/>
        </w:rPr>
        <w:t xml:space="preserve">29</w:t>
      </w:r>
      <w:r>
        <w:t xml:space="preserve"> </w:t>
      </w:r>
      <w:r>
        <w:t xml:space="preserve">(Methods) and identified both local and</w:t>
      </w:r>
      <w:r>
        <w:t xml:space="preserve"> </w:t>
      </w:r>
      <w:r>
        <w:t xml:space="preserve">distal eQTLs 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 outnumbered distal eQTLs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</w:t>
      </w:r>
      <w:r>
        <w:t xml:space="preserve"> </w:t>
      </w:r>
      <w:r>
        <w:t xml:space="preserve">identified 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emergent biological processes</w:t>
      </w:r>
      <w:r>
        <w:t xml:space="preserve"> </w:t>
      </w:r>
      <w:r>
        <w:t xml:space="preserve">representing the mediating endophenotypes driving clinical trait</w:t>
      </w:r>
      <w:r>
        <w:t xml:space="preserve"> </w:t>
      </w:r>
      <w:r>
        <w:t xml:space="preserve">variation. To identify these endophenotypes in a theoretically</w:t>
      </w:r>
      <w:r>
        <w:t xml:space="preserve"> </w:t>
      </w:r>
      <w:r>
        <w:t xml:space="preserve">principled way, we developed a novel dimension-reduction technique,</w:t>
      </w:r>
      <w:r>
        <w:t xml:space="preserve"> </w:t>
      </w:r>
      <w:r>
        <w:t xml:space="preserve">HDMA, that uses the theory of causal graphical models to identify a</w:t>
      </w:r>
      <w:r>
        <w:t xml:space="preserve"> </w:t>
      </w:r>
      <w:r>
        <w:t xml:space="preserve">transcriptomic signature that is simultaneously 1) highly heritable, 2)</w:t>
      </w:r>
      <w:r>
        <w:t xml:space="preserve"> </w:t>
      </w:r>
      <w:r>
        <w:t xml:space="preserve">strongly correlated to the measured phenotypes, and 3) conforms to the</w:t>
      </w:r>
      <w:r>
        <w:t xml:space="preserve"> </w:t>
      </w:r>
      <w:r>
        <w:t xml:space="preserve">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</w:t>
      </w:r>
      <w:r>
        <w:t xml:space="preserve"> </w:t>
      </w:r>
      <w:r>
        <w:t xml:space="preserve">high-dimensional scores–a 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</w:t>
      </w:r>
      <w:r>
        <w:t xml:space="preserve"> </w:t>
      </w:r>
      <w:r>
        <w:t xml:space="preserve">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</w:t>
      </w:r>
      <w:r>
        <w:t xml:space="preserve"> </w:t>
      </w:r>
      <w:r>
        <w:t xml:space="preserve">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 constrain</w:t>
      </w:r>
      <w:r>
        <w:t xml:space="preserve"> </w:t>
      </w:r>
      <w:r>
        <w:t xml:space="preserve">these projections to satisfy the hypotheses of perfect mediation, namely</w:t>
      </w:r>
      <w:r>
        <w:t xml:space="preserve"> </w:t>
      </w:r>
      <w:r>
        <w:t xml:space="preserve">that upon controlling for the transcriptomic score, the genome score is</w:t>
      </w:r>
      <w:r>
        <w:t xml:space="preserve"> </w:t>
      </w:r>
      <w:r>
        <w:t xml:space="preserve">uncorrelated to the phenome score. Formally, perfect mediation implies a</w:t>
      </w:r>
      <w:r>
        <w:t xml:space="preserve"> </w:t>
      </w:r>
      <w:r>
        <w:t xml:space="preserve">constraint on the 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 T_C 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30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</w:t>
      </w:r>
      <w:r>
        <w:t xml:space="preserve"> </w:t>
      </w:r>
      <w:r>
        <w:rPr>
          <w:bCs/>
          <w:b/>
        </w:rPr>
        <w:t xml:space="preserve">Supp. Methods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HDMA to identify the major axis of variation in the</w:t>
      </w:r>
      <w:r>
        <w:t xml:space="preserve"> </w:t>
      </w:r>
      <w:r>
        <w:t xml:space="preserve">transcriptome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31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strenght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32,33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inflamed and infiltrated by</w:t>
      </w:r>
      <w:r>
        <w:t xml:space="preserve"> </w:t>
      </w:r>
      <w:r>
        <w:t xml:space="preserve">macrophages</w:t>
      </w:r>
      <w:r>
        <w:rPr>
          <w:vertAlign w:val="superscript"/>
        </w:rPr>
        <w:t xml:space="preserve">34–38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metabolic index</w:t>
      </w:r>
      <w:r>
        <w:t xml:space="preserve"> </w:t>
      </w:r>
      <w:r>
        <w:t xml:space="preserve">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</w:t>
      </w:r>
      <w:r>
        <w:t xml:space="preserve"> </w:t>
      </w:r>
      <w:r>
        <w:t xml:space="preserve">been shown previously that mouse strains with greater thermogenic</w:t>
      </w:r>
      <w:r>
        <w:t xml:space="preserve"> </w:t>
      </w:r>
      <w:r>
        <w:t xml:space="preserve">potential are also less susceptible to obesity on a high-fat diet</w:t>
      </w:r>
      <w:r>
        <w:rPr>
          <w:vertAlign w:val="superscript"/>
        </w:rPr>
        <w:t xml:space="preserve">39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12,40,41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more likely than TWAS hits and 3.8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hyptertrophy. Otherwise, all</w:t>
      </w:r>
      <w:r>
        <w:t xml:space="preserve"> </w:t>
      </w:r>
      <w:r>
        <w:t xml:space="preserve">clusters were strongly loaded in only one or two tissues. For example,</w:t>
      </w:r>
      <w:r>
        <w:t xml:space="preserve"> </w:t>
      </w:r>
      <w:r>
        <w:t xml:space="preserve">the lipid metabolism cluster was loaded most heavily in liver. The</w:t>
      </w:r>
      <w:r>
        <w:t xml:space="preserve"> </w:t>
      </w:r>
      <w:r>
        <w:t xml:space="preserve">positive loadings suggest that high expression of these genes</w:t>
      </w:r>
      <w:r>
        <w:t xml:space="preserve"> </w:t>
      </w:r>
      <w:r>
        <w:t xml:space="preserve">particularly in the liver was associated with increased metabolic</w:t>
      </w:r>
      <w:r>
        <w:t xml:space="preserve"> </w:t>
      </w:r>
      <w:r>
        <w:t xml:space="preserve">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</w:t>
      </w:r>
      <w:r>
        <w:t xml:space="preserve"> </w:t>
      </w:r>
      <w:r>
        <w:t xml:space="preserve">role is in the adipose tissue where it is considered a master regulator</w:t>
      </w:r>
      <w:r>
        <w:t xml:space="preserve"> </w:t>
      </w:r>
      <w:r>
        <w:t xml:space="preserve">of adipogenesis</w:t>
      </w:r>
      <w:r>
        <w:rPr>
          <w:vertAlign w:val="superscript"/>
        </w:rPr>
        <w:t xml:space="preserve">42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</w:t>
      </w:r>
      <w:r>
        <w:t xml:space="preserve"> </w:t>
      </w:r>
      <w:r>
        <w:t xml:space="preserve">thiazolidinediones, are FDA-approved to treat type II diabetes, and</w:t>
      </w:r>
      <w:r>
        <w:t xml:space="preserve"> </w:t>
      </w:r>
      <w:r>
        <w:t xml:space="preserve">reduce inflammation and adipose hyptertrophy</w:t>
      </w:r>
      <w:r>
        <w:rPr>
          <w:vertAlign w:val="superscript"/>
        </w:rPr>
        <w:t xml:space="preserve">42</w:t>
      </w:r>
      <w:r>
        <w:t xml:space="preserve">.</w:t>
      </w:r>
      <w:r>
        <w:t xml:space="preserve"> </w:t>
      </w:r>
      <w:r>
        <w:t xml:space="preserve">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</w:t>
      </w:r>
      <w:r>
        <w:t xml:space="preserve"> </w:t>
      </w:r>
      <w:r>
        <w:t xml:space="preserve">tissue was negative, suggesting that higher expression was associated</w:t>
      </w:r>
      <w:r>
        <w:t xml:space="preserve"> </w:t>
      </w:r>
      <w:r>
        <w:t xml:space="preserve">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</w:t>
      </w:r>
      <w:r>
        <w:t xml:space="preserve"> </w:t>
      </w:r>
      <w:r>
        <w:t xml:space="preserve">a large positive loading in liver, where it is known to play a role in</w:t>
      </w:r>
      <w:r>
        <w:t xml:space="preserve"> </w:t>
      </w:r>
      <w:r>
        <w:t xml:space="preserve">the development of hepatic steatosis, or 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 are protected from developing</w:t>
      </w:r>
      <w:r>
        <w:t xml:space="preserve"> </w:t>
      </w:r>
      <w:r>
        <w:t xml:space="preserve">steatosis and show reduced expression of lipogenic genes</w:t>
      </w:r>
      <w:r>
        <w:rPr>
          <w:vertAlign w:val="superscript"/>
        </w:rPr>
        <w:t xml:space="preserve">43,44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 causes upregulation</w:t>
      </w:r>
      <w:r>
        <w:t xml:space="preserve"> </w:t>
      </w:r>
      <w:r>
        <w:t xml:space="preserve">of genes involved in adipogenesis</w:t>
      </w:r>
      <w:r>
        <w:rPr>
          <w:vertAlign w:val="superscript"/>
        </w:rPr>
        <w:t xml:space="preserve">45</w:t>
      </w:r>
      <w:r>
        <w:t xml:space="preserve">. In the livers of</w:t>
      </w:r>
      <w:r>
        <w:t xml:space="preserve"> </w:t>
      </w:r>
      <w:r>
        <w:t xml:space="preserve">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</w:t>
      </w:r>
      <w:r>
        <w:t xml:space="preserve"> </w:t>
      </w:r>
      <w:r>
        <w:t xml:space="preserve">hepatocytes that accumulate large lipid droplets and have gene</w:t>
      </w:r>
      <w:r>
        <w:t xml:space="preserve"> </w:t>
      </w:r>
      <w:r>
        <w:t xml:space="preserve">expression profiles similar to that of adipocytes</w:t>
      </w:r>
      <w:r>
        <w:rPr>
          <w:vertAlign w:val="superscript"/>
        </w:rPr>
        <w:t xml:space="preserve">46,47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48–51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metabolic index) in each CC-RIX individual using measured</w:t>
      </w:r>
      <w:r>
        <w:t xml:space="preserve"> </w:t>
      </w:r>
      <w:r>
        <w:t xml:space="preserve">gene expression in each tissue and the transcript loadings identified in</w:t>
      </w:r>
      <w:r>
        <w:t xml:space="preserve"> </w:t>
      </w:r>
      <w:r>
        <w:t xml:space="preserve">the 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52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high-fat, high-sugar diet. Loading for marker genes for other cell types</w:t>
      </w:r>
      <w:r>
        <w:t xml:space="preserve"> </w:t>
      </w:r>
      <w:r>
        <w:t xml:space="preserve">were not statistically different from zero, indicating that changes in</w:t>
      </w:r>
      <w:r>
        <w:t xml:space="preserve"> </w:t>
      </w:r>
      <w:r>
        <w:t xml:space="preserve">the abundance of those cell types is not a mediator of metabolic index.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metabolic index. This is further consistent with the</w:t>
      </w:r>
      <w:r>
        <w:t xml:space="preserve"> </w:t>
      </w:r>
      <w:r>
        <w:t xml:space="preserve">islet composition traits having small loadings in the phenome score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metabolic index identified in DO mice is relevant</w:t>
      </w:r>
      <w:r>
        <w:t xml:space="preserve"> </w:t>
      </w:r>
      <w:r>
        <w:t xml:space="preserve">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54,55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55–57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58,59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60–62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63,64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65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66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67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68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69</w:t>
      </w:r>
      <w:r>
        <w:t xml:space="preserve">. IKK</w:t>
      </w:r>
      <w:r>
        <w:t xml:space="preserve"> </w:t>
      </w:r>
      <w:r>
        <w:t xml:space="preserve">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70,71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72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73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74,75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76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74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77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78</w:t>
      </w:r>
      <w:r>
        <w:t xml:space="preserve">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used a novel high-dimensional mediation analysis (HDMA) to</w:t>
      </w:r>
      <w:r>
        <w:t xml:space="preserve"> </w:t>
      </w:r>
      <w:r>
        <w:t xml:space="preserve">investigate the relative contributions of local and distal gene</w:t>
      </w:r>
      <w:r>
        <w:t xml:space="preserve"> </w:t>
      </w:r>
      <w:r>
        <w:t xml:space="preserve">regulation to heritable trait variation in genetically diverse mouse</w:t>
      </w:r>
      <w:r>
        <w:t xml:space="preserve"> </w:t>
      </w:r>
      <w:r>
        <w:t xml:space="preserve">models of diet-induced obesity and metabolic disease. We identified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Transcripts</w:t>
      </w:r>
      <w:r>
        <w:t xml:space="preserve"> </w:t>
      </w:r>
      <w:r>
        <w:t xml:space="preserve">contributing most strongly to these composite transcripts were distally,</w:t>
      </w:r>
      <w:r>
        <w:t xml:space="preserve"> </w:t>
      </w:r>
      <w:r>
        <w:t xml:space="preserve">but not locally heritable, and composite transcripts were able to</w:t>
      </w:r>
      <w:r>
        <w:t xml:space="preserve"> </w:t>
      </w:r>
      <w:r>
        <w:t xml:space="preserve">predict obesity in a large, independent mouse population with divergent</w:t>
      </w:r>
      <w:r>
        <w:t xml:space="preserve"> </w:t>
      </w:r>
      <w:r>
        <w:t xml:space="preserve">population structure, whereas models using local eQTL only could not.</w:t>
      </w:r>
      <w:r>
        <w:t xml:space="preserve"> </w:t>
      </w:r>
      <w:r>
        <w:t xml:space="preserve">Moreover, the composite transcript from mouse adipose tissue translated</w:t>
      </w:r>
      <w:r>
        <w:t xml:space="preserve"> </w:t>
      </w:r>
      <w:r>
        <w:t xml:space="preserve">to predict obesity and diabetes status in human cohorts with measured</w:t>
      </w:r>
      <w:r>
        <w:t xml:space="preserve"> </w:t>
      </w:r>
      <w:r>
        <w:t xml:space="preserve">adipose gene expression. Taken together, these results support the</w:t>
      </w:r>
      <w:r>
        <w:t xml:space="preserve"> </w:t>
      </w:r>
      <w:r>
        <w:t xml:space="preserve">hypothesis that gene expression mediating the effect of genetic</w:t>
      </w:r>
      <w:r>
        <w:t xml:space="preserve"> </w:t>
      </w:r>
      <w:r>
        <w:t xml:space="preserve">background on metabolic phenotypes is primarily distally regulated, and</w:t>
      </w:r>
      <w:r>
        <w:t xml:space="preserve"> </w:t>
      </w:r>
      <w:r>
        <w:t xml:space="preserve">that the heritable endophenotypes defined by gene expression signatures</w:t>
      </w:r>
      <w:r>
        <w:t xml:space="preserve"> </w:t>
      </w:r>
      <w:r>
        <w:t xml:space="preserve">translate from mice to humans. We speculate that the central importance</w:t>
      </w:r>
      <w:r>
        <w:t xml:space="preserve"> </w:t>
      </w:r>
      <w:r>
        <w:t xml:space="preserve">of distal heritability found in this study is likely to be a generic</w:t>
      </w:r>
      <w:r>
        <w:t xml:space="preserve"> </w:t>
      </w:r>
      <w:r>
        <w:t xml:space="preserve">finding for complex common diseases and could have significant</w:t>
      </w:r>
      <w:r>
        <w:t xml:space="preserve"> </w:t>
      </w:r>
      <w:r>
        <w:t xml:space="preserve">consequences for the development of therapies for these diseases.</w:t>
      </w:r>
    </w:p>
    <w:p>
      <w:pPr>
        <w:pStyle w:val="BodyText"/>
      </w:pPr>
      <w:r>
        <w:t xml:space="preserve">Genetics is indispensable for the dissection of disease mechanisms</w:t>
      </w:r>
      <w:r>
        <w:t xml:space="preserve"> </w:t>
      </w:r>
      <w:r>
        <w:t xml:space="preserve">because it is one of the only data modalities that supports causal</w:t>
      </w:r>
      <w:r>
        <w:t xml:space="preserve"> </w:t>
      </w:r>
      <w:r>
        <w:t xml:space="preserve">inferences about molecules and disease outcomes</w:t>
      </w:r>
      <w:r>
        <w:rPr>
          <w:vertAlign w:val="superscript"/>
        </w:rPr>
        <w:t xml:space="preserve">79,80</w:t>
      </w:r>
      <w:r>
        <w:t xml:space="preserve">. It has frequently been assumed that gene regulation 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18,19,81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imoprtant elements leads to fragility of the system</w:t>
      </w:r>
      <w:r>
        <w:rPr>
          <w:vertAlign w:val="superscript"/>
        </w:rPr>
        <w:t xml:space="preserve">82–84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Recently, the omnigenic model of complex traits has been proposed, which</w:t>
      </w:r>
      <w:r>
        <w:t xml:space="preserve"> </w:t>
      </w:r>
      <w:r>
        <w:t xml:space="preserve">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85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Thus, the transcript loadings can be interpreted as indicating higher</w:t>
      </w:r>
      <w:r>
        <w:t xml:space="preserve"> </w:t>
      </w:r>
      <w:r>
        <w:t xml:space="preserve">“</w:t>
      </w:r>
      <w:r>
        <w:t xml:space="preserve">core-ness</w:t>
      </w:r>
      <w:r>
        <w:t xml:space="preserve">”</w:t>
      </w:r>
      <w:r>
        <w:t xml:space="preserve"> </w:t>
      </w:r>
      <w:r>
        <w:t xml:space="preserve">of a transcript. Unlike in the omnigenic model, we did not</w:t>
      </w:r>
      <w:r>
        <w:t xml:space="preserve"> </w:t>
      </w:r>
      <w:r>
        <w:t xml:space="preserve">observe a clear demarcation between the core and peripheral genes in</w:t>
      </w:r>
      <w:r>
        <w:t xml:space="preserve"> </w:t>
      </w:r>
      <w:r>
        <w:t xml:space="preserve">loading magnitude, but we do not necessarily expect a clear separation</w:t>
      </w:r>
      <w:r>
        <w:t xml:space="preserve"> </w:t>
      </w:r>
      <w:r>
        <w:t xml:space="preserve">given the complexity of gene regulation and the genotype-phenotype map</w:t>
      </w:r>
      <w:r>
        <w:rPr>
          <w:vertAlign w:val="superscript"/>
        </w:rPr>
        <w:t xml:space="preserve">86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81</w:t>
      </w:r>
      <w:r>
        <w:t xml:space="preserve">. This is consistent with what we observed here. The</w:t>
      </w:r>
      <w:r>
        <w:t xml:space="preserve"> </w:t>
      </w:r>
      <w:r>
        <w:t xml:space="preserve">transcripts with the largest loadings were strongly distally regulated</w:t>
      </w:r>
      <w:r>
        <w:t xml:space="preserve"> </w:t>
      </w:r>
      <w:r>
        <w:t xml:space="preserve">and only weakly locally regulated, suggesting that distal gene</w:t>
      </w:r>
      <w:r>
        <w:t xml:space="preserve"> </w:t>
      </w:r>
      <w:r>
        <w:t xml:space="preserve">regulation plays a primary role in driving heritable trait variation. We</w:t>
      </w:r>
      <w:r>
        <w:t xml:space="preserve"> </w:t>
      </w:r>
      <w:r>
        <w:t xml:space="preserve">saw further that the patterns of distal heritability were not localized</w:t>
      </w:r>
      <w:r>
        <w:t xml:space="preserve"> </w:t>
      </w:r>
      <w:r>
        <w:t xml:space="preserve">to detectable distal eQTL, but rather were complex and spread across the</w:t>
      </w:r>
      <w:r>
        <w:t xml:space="preserve"> </w:t>
      </w:r>
      <w:r>
        <w:t xml:space="preserve">genome, even for transcripts whose expression was strongly regulated by</w:t>
      </w:r>
      <w:r>
        <w:t xml:space="preserve"> </w:t>
      </w:r>
      <w:r>
        <w:t xml:space="preserve">distal factors.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</w:t>
      </w:r>
      <w:r>
        <w:t xml:space="preserve"> </w:t>
      </w:r>
      <w:r>
        <w:t xml:space="preserve">islets and was also strongly distally regulated (66% distal</w:t>
      </w:r>
      <w:r>
        <w:t xml:space="preserve"> </w:t>
      </w:r>
      <w:r>
        <w:t xml:space="preserve">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</w:t>
      </w:r>
      <w:r>
        <w:t xml:space="preserve"> </w:t>
      </w:r>
      <w:r>
        <w:t xml:space="preserve">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</w:t>
      </w:r>
      <w:r>
        <w:t xml:space="preserve"> </w:t>
      </w:r>
      <w:r>
        <w:t xml:space="preserve">glucagon release</w:t>
      </w:r>
      <w:r>
        <w:rPr>
          <w:vertAlign w:val="superscript"/>
        </w:rPr>
        <w:t xml:space="preserve">87–89</w:t>
      </w:r>
      <w:r>
        <w:t xml:space="preserve">.</w:t>
      </w:r>
      <w:r>
        <w:t xml:space="preserve"> </w:t>
      </w:r>
      <w:r>
        <w:t xml:space="preserve">Although its transcription was highly heritable in islets, that</w:t>
      </w:r>
      <w:r>
        <w:t xml:space="preserve"> </w:t>
      </w:r>
      <w:r>
        <w:t xml:space="preserve">regulation was distributed across the genome, with no clear distal eQTL</w:t>
      </w:r>
      <w:r>
        <w:t xml:space="preserve"> </w:t>
      </w:r>
      <w:r>
        <w:t xml:space="preserve">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 although distal regulation of</w:t>
      </w:r>
      <w:r>
        <w:t xml:space="preserve"> </w:t>
      </w:r>
      <w:r>
        <w:t xml:space="preserve">some genes may be strong, this regulation is likely to be highly complex</w:t>
      </w:r>
      <w:r>
        <w:t xml:space="preserve"> </w:t>
      </w:r>
      <w:r>
        <w:t xml:space="preserve">and not easily localized.</w:t>
      </w:r>
    </w:p>
    <w:p>
      <w:pPr>
        <w:pStyle w:val="BodyText"/>
      </w:pPr>
      <w:r>
        <w:t xml:space="preserve">We stress that HDMA is a method for causal hypothesis generation. As</w:t>
      </w:r>
      <w:r>
        <w:t xml:space="preserve"> </w:t>
      </w:r>
      <w:r>
        <w:t xml:space="preserve">with any causal inference approach, the output of HDMA can only be said</w:t>
      </w:r>
      <w:r>
        <w:t xml:space="preserve"> </w:t>
      </w:r>
      <w:r>
        <w:t xml:space="preserve">to be consistent with causal mediation but does not prove it. Proving</w:t>
      </w:r>
      <w:r>
        <w:t xml:space="preserve"> </w:t>
      </w:r>
      <w:r>
        <w:t xml:space="preserve">causality requires experimentation with direct control over the</w:t>
      </w:r>
      <w:r>
        <w:t xml:space="preserve"> </w:t>
      </w:r>
      <w:r>
        <w:t xml:space="preserve">mediating variable</w:t>
      </w:r>
      <w:r>
        <w:rPr>
          <w:vertAlign w:val="superscript"/>
        </w:rPr>
        <w:t xml:space="preserve">90</w:t>
      </w:r>
      <w:r>
        <w:t xml:space="preserve">. The issue of</w:t>
      </w:r>
      <w:r>
        <w:t xml:space="preserve"> </w:t>
      </w:r>
      <w:r>
        <w:t xml:space="preserve">experimentation, however, is subtle. The dimension-reduction in HDMA is</w:t>
      </w:r>
      <w:r>
        <w:t xml:space="preserve"> </w:t>
      </w:r>
      <w:r>
        <w:t xml:space="preserve">distinguished by the fact that the putative causal intermediates can be</w:t>
      </w:r>
      <w:r>
        <w:t xml:space="preserve"> </w:t>
      </w:r>
      <w:r>
        <w:t xml:space="preserve">emergent states defined by the expression of thousands of genes. This is</w:t>
      </w:r>
      <w:r>
        <w:t xml:space="preserve"> </w:t>
      </w:r>
      <w:r>
        <w:t xml:space="preserve">a strength, because the mediating variable can be a higher-order process</w:t>
      </w:r>
      <w:r>
        <w:t xml:space="preserve"> </w:t>
      </w:r>
      <w:r>
        <w:t xml:space="preserve">such as</w:t>
      </w:r>
      <w:r>
        <w:t xml:space="preserve"> </w:t>
      </w:r>
      <w:r>
        <w:t xml:space="preserve">“</w:t>
      </w:r>
      <w:r>
        <w:t xml:space="preserve">macrophage activation and infiltration</w:t>
      </w:r>
      <w:r>
        <w:t xml:space="preserve">”</w:t>
      </w:r>
      <w:r>
        <w:t xml:space="preserve">, but, in contrast to</w:t>
      </w:r>
      <w:r>
        <w:t xml:space="preserve"> </w:t>
      </w:r>
      <w:r>
        <w:t xml:space="preserve">univariate hypotheses at the level of individual transcripts, the</w:t>
      </w:r>
      <w:r>
        <w:t xml:space="preserve"> </w:t>
      </w:r>
      <w:r>
        <w:t xml:space="preserve">relevant validation experiment may be technologically infeasible,</w:t>
      </w:r>
      <w:r>
        <w:t xml:space="preserve"> </w:t>
      </w:r>
      <w:r>
        <w:t xml:space="preserve">unknowable a priori, or both. Nevertheless, downstream analyses of the</w:t>
      </w:r>
      <w:r>
        <w:t xml:space="preserve"> </w:t>
      </w:r>
      <w:r>
        <w:t xml:space="preserve">composite transcripts strongly supports a causal interpretation. Indeed,</w:t>
      </w:r>
      <w:r>
        <w:t xml:space="preserve"> </w:t>
      </w:r>
      <w:r>
        <w:t xml:space="preserve">the composite transcripts identified by HDMA are richly interpretable in</w:t>
      </w:r>
      <w:r>
        <w:t xml:space="preserve"> </w:t>
      </w:r>
      <w:r>
        <w:t xml:space="preserve">both tissue- and gene-specific manners. The transcripts with the</w:t>
      </w:r>
      <w:r>
        <w:t xml:space="preserve"> </w:t>
      </w:r>
      <w:r>
        <w:t xml:space="preserve">strongest loadings were enriched in biological functions previously</w:t>
      </w:r>
      <w:r>
        <w:t xml:space="preserve"> </w:t>
      </w:r>
      <w:r>
        <w:t xml:space="preserve">known to be involved in the pathogenesis of metabolic disease, such as</w:t>
      </w:r>
      <w:r>
        <w:t xml:space="preserve"> </w:t>
      </w:r>
      <w:r>
        <w:t xml:space="preserve">inflammation in adipose tissue. That these processes were identified in</w:t>
      </w:r>
      <w:r>
        <w:t xml:space="preserve"> </w:t>
      </w:r>
      <w:r>
        <w:t xml:space="preserve">this analysis suggests additionally that they have a heritable</w:t>
      </w:r>
      <w:r>
        <w:t xml:space="preserve"> </w:t>
      </w:r>
      <w:r>
        <w:t xml:space="preserve">component, and that some individuals are genetically susceptible to</w:t>
      </w:r>
      <w:r>
        <w:t xml:space="preserve"> </w:t>
      </w:r>
      <w:r>
        <w:t xml:space="preserve">greater adipose inflammation on a high-fat, high-sugar diet.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43–47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Another useful application of the composite transcripts is to pair them</w:t>
      </w:r>
      <w:r>
        <w:t xml:space="preserve"> </w:t>
      </w:r>
      <w:r>
        <w:t xml:space="preserve">with cell-type specific genes to generate causal hypotheses about</w:t>
      </w:r>
      <w:r>
        <w:t xml:space="preserve"> </w:t>
      </w:r>
      <w:r>
        <w:t xml:space="preserve">changes in cell composition in individual tissues. Combining the</w:t>
      </w:r>
      <w:r>
        <w:t xml:space="preserve"> </w:t>
      </w:r>
      <w:r>
        <w:t xml:space="preserve">multi-tissue, transcriptome-wide weighted vectors with public databases</w:t>
      </w:r>
      <w:r>
        <w:t xml:space="preserve"> </w:t>
      </w:r>
      <w:r>
        <w:t xml:space="preserve">and data sets thus provides a path for generating a wide range of</w:t>
      </w:r>
      <w:r>
        <w:t xml:space="preserve"> </w:t>
      </w:r>
      <w:r>
        <w:t xml:space="preserve">testable hypotheses. Moreover, each publically available data set we</w:t>
      </w:r>
      <w:r>
        <w:t xml:space="preserve"> </w:t>
      </w:r>
      <w:r>
        <w:t xml:space="preserve">used for interpretation of the HDMA results was derived from human</w:t>
      </w:r>
      <w:r>
        <w:t xml:space="preserve"> </w:t>
      </w:r>
      <w:r>
        <w:t xml:space="preserve">tissues or cell lines, thus demonstrating the translatability of the</w:t>
      </w:r>
      <w:r>
        <w:t xml:space="preserve"> </w:t>
      </w:r>
      <w:r>
        <w:t xml:space="preserve">HDMA results to humans. That the mouse-derived adipose composite</w:t>
      </w:r>
      <w:r>
        <w:t xml:space="preserve"> </w:t>
      </w:r>
      <w:r>
        <w:t xml:space="preserve">transcript was able to classify human adipose gene expression in terms</w:t>
      </w:r>
      <w:r>
        <w:t xml:space="preserve"> </w:t>
      </w:r>
      <w:r>
        <w:t xml:space="preserve">of obesity and diabetes status further supports the direct</w:t>
      </w:r>
      <w:r>
        <w:t xml:space="preserve"> </w:t>
      </w:r>
      <w:r>
        <w:t xml:space="preserve">translatablility of these findings, the utility of HDMA, and the</w:t>
      </w:r>
      <w:r>
        <w:t xml:space="preserve"> </w:t>
      </w:r>
      <w:r>
        <w:t xml:space="preserve">continued importance of mouse models of human disease in which it is</w:t>
      </w:r>
      <w:r>
        <w:t xml:space="preserve"> </w:t>
      </w:r>
      <w:r>
        <w:t xml:space="preserve">possible to obtain complete transriptomes in mutliple tissues across</w:t>
      </w:r>
      <w:r>
        <w:t xml:space="preserve"> </w:t>
      </w:r>
      <w:r>
        <w:t xml:space="preserve">large numbers of individuals.</w:t>
      </w:r>
    </w:p>
    <w:p>
      <w:pPr>
        <w:pStyle w:val="BodyText"/>
      </w:pPr>
      <w:r>
        <w:t xml:space="preserve">Altogether, our results have shown that both tissue specificity and</w:t>
      </w:r>
      <w:r>
        <w:t xml:space="preserve"> </w:t>
      </w:r>
      <w:r>
        <w:t xml:space="preserve">distal gene regulation are critically important to understanding the</w:t>
      </w:r>
      <w:r>
        <w:t xml:space="preserve"> </w:t>
      </w:r>
      <w:r>
        <w:t xml:space="preserve">genetic architecture of complex traits. We identified important genes</w:t>
      </w:r>
      <w:r>
        <w:t xml:space="preserve"> </w:t>
      </w:r>
      <w:r>
        <w:t xml:space="preserve">and gene signatures that were heritable, plausibly causal of disease,</w:t>
      </w:r>
      <w:r>
        <w:t xml:space="preserve"> </w:t>
      </w:r>
      <w:r>
        <w:t xml:space="preserve">and translatable to other mouse populations and to humans. Finally, we</w:t>
      </w:r>
      <w:r>
        <w:t xml:space="preserve"> </w:t>
      </w:r>
      <w:r>
        <w:t xml:space="preserve">have 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8"/>
    <w:bookmarkStart w:id="59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9"/>
    <w:bookmarkStart w:id="60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60"/>
    <w:bookmarkStart w:id="190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Figures/Supp_Fig1_eQTL.pdf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enrichments_KEGG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GO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OxPhos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TCA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Branched_Chain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metabolic index.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CC-RIX_Imputation.pdf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Islet_all_cell_types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All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SC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adipose tissue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YAPC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Clue.io results using the pancreatic islet composite transcript as</w:t>
      </w:r>
      <w:r>
        <w:t xml:space="preserve"> </w:t>
      </w:r>
      <w:r>
        <w:t xml:space="preserve">an input. Results are limited to the 30 most negatively correlated signals</w:t>
      </w:r>
      <w:r>
        <w:t xml:space="preserve"> </w:t>
      </w:r>
      <w:r>
        <w:t xml:space="preserve">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lemental_FigX_Nucb2_eQTL.pdf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89" w:name="refs"/>
    <w:bookmarkStart w:id="97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97"/>
    <w:bookmarkStart w:id="98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98"/>
    <w:bookmarkStart w:id="99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99"/>
    <w:bookmarkStart w:id="100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0"/>
    <w:bookmarkStart w:id="101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1"/>
    <w:bookmarkStart w:id="102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2"/>
    <w:bookmarkStart w:id="103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3"/>
    <w:bookmarkStart w:id="104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4"/>
    <w:bookmarkStart w:id="105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05"/>
    <w:bookmarkStart w:id="106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06"/>
    <w:bookmarkStart w:id="107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07"/>
    <w:bookmarkStart w:id="108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08"/>
    <w:bookmarkStart w:id="109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09"/>
    <w:bookmarkStart w:id="110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0"/>
    <w:bookmarkStart w:id="111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1"/>
    <w:bookmarkStart w:id="112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2"/>
    <w:bookmarkStart w:id="113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3"/>
    <w:bookmarkStart w:id="114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4"/>
    <w:bookmarkStart w:id="115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15"/>
    <w:bookmarkStart w:id="116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16"/>
    <w:bookmarkStart w:id="117" w:name="ref-pmid36350656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17"/>
    <w:bookmarkStart w:id="118" w:name="ref-pmid34556834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18"/>
    <w:bookmarkStart w:id="119" w:name="ref-pmid2808948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19"/>
    <w:bookmarkStart w:id="120" w:name="ref-pmid108897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0"/>
    <w:bookmarkStart w:id="121" w:name="ref-pmid22892839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1"/>
    <w:bookmarkStart w:id="122" w:name="ref-pmid18716833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2"/>
    <w:bookmarkStart w:id="123" w:name="ref-pmid311334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3"/>
    <w:bookmarkStart w:id="124" w:name="ref-pmid17018838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24"/>
    <w:bookmarkStart w:id="125" w:name="ref-pmid30591514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25"/>
    <w:bookmarkStart w:id="127" w:name="ref-rgcca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26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27"/>
    <w:bookmarkStart w:id="128" w:name="ref-pmid3838380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28"/>
    <w:bookmarkStart w:id="130" w:name="ref-fgsea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29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0"/>
    <w:bookmarkStart w:id="131" w:name="ref-pmid16199517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1"/>
    <w:bookmarkStart w:id="132" w:name="ref-pmid19133410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2"/>
    <w:bookmarkStart w:id="133" w:name="ref-pmid2895538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3"/>
    <w:bookmarkStart w:id="134" w:name="ref-pmid289128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34"/>
    <w:bookmarkStart w:id="135" w:name="ref-pmid2890133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35"/>
    <w:bookmarkStart w:id="136" w:name="ref-pmid24969772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36"/>
    <w:bookmarkStart w:id="137" w:name="ref-pmid18492779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37"/>
    <w:bookmarkStart w:id="138" w:name="ref-pmid2256021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38"/>
    <w:bookmarkStart w:id="139" w:name="ref-pmid19841271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39"/>
    <w:bookmarkStart w:id="140" w:name="ref-pmid1738976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0"/>
    <w:bookmarkStart w:id="141" w:name="ref-pmid12805374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1"/>
    <w:bookmarkStart w:id="142" w:name="ref-pmid12618528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2"/>
    <w:bookmarkStart w:id="143" w:name="ref-pmid16357043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3"/>
    <w:bookmarkStart w:id="144" w:name="ref-pmid1564445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44"/>
    <w:bookmarkStart w:id="145" w:name="ref-pmid16403437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45"/>
    <w:bookmarkStart w:id="146" w:name="ref-pmid28592495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46"/>
    <w:bookmarkStart w:id="147" w:name="ref-pmid2141185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47"/>
    <w:bookmarkStart w:id="148" w:name="ref-pmid17674098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48"/>
    <w:bookmarkStart w:id="149" w:name="ref-pmid1551466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49"/>
    <w:bookmarkStart w:id="150" w:name="ref-pmid2478140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0"/>
    <w:bookmarkStart w:id="151" w:name="ref-pmid17008526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1"/>
    <w:bookmarkStart w:id="152" w:name="ref-pmid30290005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2"/>
    <w:bookmarkStart w:id="153" w:name="ref-pmid3003457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3"/>
    <w:bookmarkStart w:id="154" w:name="ref-pmid238812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54"/>
    <w:bookmarkStart w:id="155" w:name="ref-pmid21266327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55"/>
    <w:bookmarkStart w:id="156" w:name="ref-pmid24582093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56"/>
    <w:bookmarkStart w:id="157" w:name="ref-pmid3558519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57"/>
    <w:bookmarkStart w:id="158" w:name="ref-pmid3031081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58"/>
    <w:bookmarkStart w:id="159" w:name="ref-pmid1125447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59"/>
    <w:bookmarkStart w:id="160" w:name="ref-pmid23197361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0"/>
    <w:bookmarkStart w:id="161" w:name="ref-pmid27411014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1"/>
    <w:bookmarkStart w:id="162" w:name="ref-pmid25385872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2"/>
    <w:bookmarkStart w:id="163" w:name="ref-pmid3445019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3"/>
    <w:bookmarkStart w:id="164" w:name="ref-pmid21459330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64"/>
    <w:bookmarkStart w:id="165" w:name="ref-pmid12114611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65"/>
    <w:bookmarkStart w:id="166" w:name="ref-pmid3364892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66"/>
    <w:bookmarkStart w:id="167" w:name="ref-pmid28753229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67"/>
    <w:bookmarkStart w:id="168" w:name="ref-pmid28683283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68"/>
    <w:bookmarkStart w:id="169" w:name="ref-pmid15685170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69"/>
    <w:bookmarkStart w:id="170" w:name="ref-pmid33603744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0"/>
    <w:bookmarkStart w:id="171" w:name="ref-pmid32281000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1"/>
    <w:bookmarkStart w:id="172" w:name="ref-pmid27007849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2"/>
    <w:bookmarkStart w:id="173" w:name="ref-pmid28823510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73"/>
    <w:bookmarkStart w:id="174" w:name="ref-pmid24520198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74"/>
    <w:bookmarkStart w:id="175" w:name="ref-pmid21190462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75"/>
    <w:bookmarkStart w:id="176" w:name="ref-pmid16631807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76"/>
    <w:bookmarkStart w:id="177" w:name="ref-pmid38632401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Minikel, E. V., Painter, J. L., Dong, C. C. &amp; Nelson, M. R.</w:t>
      </w:r>
      <w:r>
        <w:t xml:space="preserve"> </w:t>
      </w:r>
      <w:r>
        <w:t xml:space="preserve">R</w:t>
      </w:r>
      <w:r>
        <w:t xml:space="preserve">efining the impact of genetic evidence on clinical success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629</w:t>
      </w:r>
      <w:r>
        <w:t xml:space="preserve">, 624–629 (2024).</w:t>
      </w:r>
    </w:p>
    <w:bookmarkEnd w:id="177"/>
    <w:bookmarkStart w:id="178" w:name="ref-pmid27855690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Katsanis, N.</w:t>
      </w:r>
      <w:r>
        <w:t xml:space="preserve"> </w:t>
      </w:r>
      <w:r>
        <w:t xml:space="preserve">T</w:t>
      </w:r>
      <w:r>
        <w:t xml:space="preserve">he continuum of causality in human genetic disorders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17</w:t>
      </w:r>
      <w:r>
        <w:t xml:space="preserve">, 233 (2016).</w:t>
      </w:r>
    </w:p>
    <w:bookmarkEnd w:id="178"/>
    <w:bookmarkStart w:id="179" w:name="ref-pmid31051098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79"/>
    <w:bookmarkStart w:id="180" w:name="ref-pmid29782925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0"/>
    <w:bookmarkStart w:id="181" w:name="ref-pmid120821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1"/>
    <w:bookmarkStart w:id="182" w:name="ref-pmid27304973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2"/>
    <w:bookmarkStart w:id="183" w:name="ref-pmid2862250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3"/>
    <w:bookmarkStart w:id="184" w:name="ref-pmid29906445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4"/>
    <w:bookmarkStart w:id="185" w:name="ref-pmid22108805"/>
    <w:p>
      <w:pPr>
        <w:pStyle w:val="Bibliography"/>
      </w:pPr>
      <w:r>
        <w:t xml:space="preserve">87.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85"/>
    <w:bookmarkStart w:id="186" w:name="ref-pmid23537085"/>
    <w:p>
      <w:pPr>
        <w:pStyle w:val="Bibliography"/>
      </w:pPr>
      <w:r>
        <w:t xml:space="preserve">88.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86"/>
    <w:bookmarkStart w:id="187" w:name="ref-pmid24993278"/>
    <w:p>
      <w:pPr>
        <w:pStyle w:val="Bibliography"/>
      </w:pPr>
      <w:r>
        <w:t xml:space="preserve">89.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87"/>
    <w:bookmarkStart w:id="188" w:name="ref-pearl2009causality"/>
    <w:p>
      <w:pPr>
        <w:pStyle w:val="Bibliography"/>
      </w:pPr>
      <w:r>
        <w:t xml:space="preserve">90.</w:t>
      </w:r>
      <w:r>
        <w:t xml:space="preserve"> </w:t>
      </w:r>
      <w:r>
        <w:t xml:space="preserve">	</w:t>
      </w:r>
      <w:r>
        <w:t xml:space="preserve">Pearl, J.</w:t>
      </w:r>
      <w:r>
        <w:t xml:space="preserve"> </w:t>
      </w:r>
      <w:r>
        <w:rPr>
          <w:iCs/>
          <w:i/>
        </w:rPr>
        <w:t xml:space="preserve">Causality</w:t>
      </w:r>
      <w:r>
        <w:t xml:space="preserve">. (Cambridge University Press, 2009).</w:t>
      </w:r>
    </w:p>
    <w:bookmarkEnd w:id="188"/>
    <w:bookmarkEnd w:id="189"/>
    <w:bookmarkEnd w:id="19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1" Target="media/rId61.pdf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76" Target="media/rId76.png" /><Relationship Type="http://schemas.openxmlformats.org/officeDocument/2006/relationships/image" Id="rId79" Target="media/rId79.pdf" /><Relationship Type="http://schemas.openxmlformats.org/officeDocument/2006/relationships/image" Id="rId91" Target="media/rId91.png" /><Relationship Type="http://schemas.openxmlformats.org/officeDocument/2006/relationships/image" Id="rId85" Target="media/rId85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67" Target="media/rId67.pdf" /><Relationship Type="http://schemas.openxmlformats.org/officeDocument/2006/relationships/image" Id="rId64" Target="media/rId64.pdf" /><Relationship Type="http://schemas.openxmlformats.org/officeDocument/2006/relationships/image" Id="rId94" Target="media/rId94.pdf" /><Relationship Type="http://schemas.openxmlformats.org/officeDocument/2006/relationships/hyperlink" Id="rId126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9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6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29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2024-08-30T19:44:40Z</dcterms:created>
  <dcterms:modified xsi:type="dcterms:W3CDTF">2024-08-30T19:44:40Z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